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before="0" w:line="240" w:lineRule="auto"/>
        <w:ind/>
        <w:rPr>
          <w:sz w:val="20"/>
        </w:rPr>
      </w:pPr>
    </w:p>
    <w:p w14:paraId="02000000">
      <w:pPr>
        <w:spacing w:before="9" w:line="240" w:lineRule="auto"/>
        <w:ind/>
        <w:rPr>
          <w:sz w:val="20"/>
        </w:rPr>
      </w:pPr>
    </w:p>
    <w:p w14:paraId="03000000">
      <w:pPr>
        <w:pStyle w:val="Style_1"/>
        <w:spacing w:before="90"/>
        <w:ind w:firstLine="0" w:left="2437" w:right="2684"/>
        <w:jc w:val="center"/>
      </w:pPr>
      <w:r>
        <w:t>Результаты</w:t>
      </w:r>
      <w:r>
        <w:rPr>
          <w:spacing w:val="-2"/>
        </w:rPr>
        <w:t xml:space="preserve"> </w:t>
      </w:r>
      <w:r>
        <w:t>ВСОКО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условий реализации ООП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АОП)</w:t>
      </w:r>
    </w:p>
    <w:tbl>
      <w:tblPr>
        <w:tblStyle w:val="Style_2"/>
        <w:tblInd w:type="dxa" w:w="1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5"/>
        <w:gridCol w:w="1987"/>
        <w:gridCol w:w="248"/>
        <w:gridCol w:w="3237"/>
        <w:gridCol w:w="940"/>
        <w:gridCol w:w="2024"/>
        <w:gridCol w:w="5560"/>
      </w:tblGrid>
      <w:tr>
        <w:trPr>
          <w:trHeight w:hRule="atLeast" w:val="46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00000">
            <w:pPr>
              <w:pStyle w:val="Style_3"/>
              <w:spacing w:line="230" w:lineRule="atLeast"/>
              <w:ind w:firstLine="40" w:left="0" w:right="8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type="dxa" w:w="22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00000">
            <w:pPr>
              <w:pStyle w:val="Style_3"/>
              <w:ind w:firstLine="0" w:left="110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  <w:p w14:paraId="08000000">
            <w:pPr>
              <w:pStyle w:val="Style_3"/>
              <w:spacing w:line="210" w:lineRule="exact"/>
              <w:ind/>
              <w:rPr>
                <w:sz w:val="20"/>
              </w:rPr>
            </w:pPr>
            <w:r>
              <w:rPr>
                <w:sz w:val="20"/>
              </w:rPr>
              <w:t>(методы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оценки)</w:t>
            </w:r>
          </w:p>
        </w:tc>
        <w:tc>
          <w:tcPr>
            <w:tcW w:type="dxa" w:w="5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pStyle w:val="Style_3"/>
              <w:tabs>
                <w:tab w:leader="none" w:pos="1122" w:val="left"/>
              </w:tabs>
              <w:spacing w:line="230" w:lineRule="atLeast"/>
              <w:ind w:firstLine="0" w:left="105" w:right="100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>
        <w:trPr>
          <w:trHeight w:hRule="atLeast" w:val="46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3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23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3"/>
              <w:ind w:firstLine="0" w:left="110" w:right="218"/>
              <w:rPr>
                <w:sz w:val="20"/>
              </w:rPr>
            </w:pPr>
            <w:r>
              <w:rPr>
                <w:spacing w:val="-1"/>
                <w:sz w:val="20"/>
              </w:rPr>
              <w:t>Нормативно-правовое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нормативно-правого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3"/>
              <w:spacing w:line="230" w:lineRule="atLeast"/>
              <w:ind w:firstLine="0" w:left="105" w:right="84"/>
              <w:rPr>
                <w:sz w:val="20"/>
              </w:rPr>
            </w:pPr>
            <w:r>
              <w:rPr>
                <w:sz w:val="20"/>
              </w:rPr>
              <w:t>Мониторинг ФГОС -  достаточный уровень</w:t>
            </w:r>
          </w:p>
        </w:tc>
      </w:tr>
      <w:tr>
        <w:trPr>
          <w:trHeight w:hRule="atLeast" w:val="461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3"/>
              <w:spacing w:before="1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2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3"/>
              <w:spacing w:before="1"/>
              <w:ind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3"/>
              <w:spacing w:before="1"/>
              <w:ind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3"/>
              <w:spacing w:line="230" w:lineRule="atLeast"/>
              <w:ind w:firstLine="0" w:left="105" w:right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Разработаны ООП </w:t>
            </w:r>
            <w:r>
              <w:rPr>
                <w:sz w:val="20"/>
              </w:rPr>
              <w:t>НОО  в соответствии с ФГОС НОО №286,  ООП ООО в соответствии с ФГОС ООО № 287</w:t>
            </w:r>
          </w:p>
        </w:tc>
      </w:tr>
      <w:tr>
        <w:trPr>
          <w:trHeight w:hRule="atLeast" w:val="1149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3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22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3"/>
              <w:ind w:right="1380"/>
              <w:rPr>
                <w:sz w:val="20"/>
              </w:rPr>
            </w:pPr>
            <w:r>
              <w:rPr>
                <w:sz w:val="20"/>
              </w:rPr>
              <w:t>Результаты лицензирования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3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Наличие лицензии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14:paraId="16000000">
            <w:pPr>
              <w:pStyle w:val="Style_3"/>
              <w:spacing w:line="229" w:lineRule="exact"/>
              <w:ind/>
              <w:rPr>
                <w:sz w:val="20"/>
              </w:rPr>
            </w:pPr>
            <w:r>
              <w:rPr>
                <w:sz w:val="20"/>
              </w:rPr>
              <w:t>аккредитации</w:t>
            </w:r>
          </w:p>
        </w:tc>
        <w:tc>
          <w:tcPr>
            <w:tcW w:type="dxa" w:w="5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3"/>
              <w:spacing w:line="229" w:lineRule="exact"/>
              <w:ind w:firstLine="0" w:left="10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184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3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9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3"/>
              <w:ind w:firstLine="0" w:left="110" w:right="612"/>
              <w:rPr>
                <w:sz w:val="20"/>
              </w:rPr>
            </w:pPr>
            <w:r>
              <w:rPr>
                <w:sz w:val="20"/>
              </w:rPr>
              <w:t>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гигиенические</w:t>
            </w:r>
          </w:p>
          <w:p w14:paraId="1A000000">
            <w:pPr>
              <w:pStyle w:val="Style_3"/>
              <w:spacing w:before="1"/>
              <w:ind w:firstLine="0" w:left="110"/>
              <w:rPr>
                <w:sz w:val="20"/>
              </w:rPr>
            </w:pPr>
            <w:r>
              <w:rPr>
                <w:sz w:val="20"/>
              </w:rPr>
              <w:t>эстетические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</w:tc>
        <w:tc>
          <w:tcPr>
            <w:tcW w:type="dxa" w:w="248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3"/>
              <w:ind w:firstLine="0" w:left="0"/>
              <w:rPr>
                <w:b w:val="1"/>
                <w:sz w:val="20"/>
              </w:rPr>
            </w:pPr>
          </w:p>
          <w:p w14:paraId="1C000000">
            <w:pPr>
              <w:pStyle w:val="Style_3"/>
              <w:ind w:firstLine="0" w:left="35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3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высказавшихся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Анонимное</w:t>
            </w:r>
          </w:p>
          <w:p w14:paraId="1F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type="dxa" w:w="5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3"/>
              <w:ind w:firstLine="0" w:left="105" w:right="776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</w:tr>
      <w:tr>
        <w:trPr>
          <w:trHeight w:hRule="atLeast" w:val="68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3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9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48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3"/>
              <w:tabs>
                <w:tab w:leader="none" w:pos="1062" w:val="left"/>
                <w:tab w:leader="none" w:pos="2247" w:val="left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состояния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3"/>
              <w:ind w:firstLine="0" w:left="34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Наблюдение,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</w:p>
        </w:tc>
        <w:tc>
          <w:tcPr>
            <w:tcW w:type="dxa" w:w="5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проверки готовности организации, осуществляюей образовательную деятельность, к новому 2022-2023 году от 11.08.2022г.  №21 </w:t>
            </w:r>
          </w:p>
        </w:tc>
      </w:tr>
      <w:tr>
        <w:trPr>
          <w:trHeight w:hRule="atLeast" w:val="69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3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223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3"/>
              <w:ind w:firstLine="0" w:left="110" w:right="965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14:paraId="28000000">
            <w:pPr>
              <w:pStyle w:val="Style_3"/>
              <w:spacing w:before="1"/>
              <w:ind w:firstLine="0" w:left="110" w:right="60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3"/>
              <w:tabs>
                <w:tab w:leader="none" w:pos="2798" w:val="left"/>
              </w:tabs>
              <w:spacing w:line="23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антитеррористической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защищенности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нормативных документов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проверки готовности организации, осуществляюей образовательную деятельность, к новому 2022-2023 году от 11.08.2022г.  №21 </w:t>
            </w:r>
          </w:p>
        </w:tc>
      </w:tr>
      <w:tr>
        <w:trPr>
          <w:trHeight w:hRule="atLeast" w:val="461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3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22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3"/>
              <w:tabs>
                <w:tab w:leader="none" w:pos="1512" w:val="left"/>
                <w:tab w:leader="none" w:pos="2908" w:val="left"/>
                <w:tab w:leader="none" w:pos="3973" w:val="left"/>
              </w:tabs>
              <w:spacing w:line="232" w:lineRule="exact"/>
              <w:ind w:right="10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несчастных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случаев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Мониторинг </w:t>
            </w:r>
          </w:p>
        </w:tc>
        <w:tc>
          <w:tcPr>
            <w:tcW w:type="dxa" w:w="5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3"/>
              <w:tabs>
                <w:tab w:leader="none" w:pos="1512" w:val="left"/>
                <w:tab w:leader="none" w:pos="2908" w:val="left"/>
                <w:tab w:leader="none" w:pos="3973" w:val="left"/>
              </w:tabs>
              <w:spacing w:line="232" w:lineRule="exact"/>
              <w:ind w:right="102"/>
              <w:rPr>
                <w:sz w:val="20"/>
              </w:rPr>
            </w:pPr>
            <w:r>
              <w:rPr>
                <w:sz w:val="20"/>
              </w:rPr>
              <w:t>несчастных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случаев с</w:t>
            </w:r>
            <w:r>
              <w:rPr>
                <w:spacing w:val="-47"/>
                <w:sz w:val="20"/>
              </w:rPr>
              <w:t xml:space="preserve">                      </w:t>
            </w:r>
            <w:r>
              <w:rPr>
                <w:sz w:val="20"/>
              </w:rPr>
              <w:t>обучающимися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 нет</w:t>
            </w:r>
          </w:p>
          <w:p w14:paraId="30000000">
            <w:pPr>
              <w:pStyle w:val="Style_3"/>
              <w:ind w:firstLine="0" w:left="105"/>
              <w:rPr>
                <w:sz w:val="20"/>
              </w:rPr>
            </w:pPr>
          </w:p>
        </w:tc>
      </w:tr>
      <w:tr>
        <w:trPr>
          <w:trHeight w:hRule="atLeast" w:val="457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3"/>
              <w:spacing w:line="227" w:lineRule="exact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223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3"/>
              <w:ind w:firstLine="0" w:left="110" w:right="903"/>
              <w:rPr>
                <w:sz w:val="20"/>
              </w:rPr>
            </w:pPr>
            <w:r>
              <w:rPr>
                <w:spacing w:val="-1"/>
                <w:sz w:val="20"/>
              </w:rPr>
              <w:t>Материально-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3"/>
              <w:spacing w:line="227" w:lineRule="exact"/>
              <w:ind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материально-технического</w:t>
            </w:r>
          </w:p>
          <w:p w14:paraId="34000000">
            <w:pPr>
              <w:pStyle w:val="Style_3"/>
              <w:spacing w:line="210" w:lineRule="exact"/>
              <w:ind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3"/>
              <w:spacing w:line="227" w:lineRule="exact"/>
              <w:ind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3"/>
              <w:spacing w:line="227" w:lineRule="exact"/>
              <w:ind w:firstLine="0" w:left="105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ФГОС </w:t>
            </w:r>
            <w:r>
              <w:rPr>
                <w:sz w:val="20"/>
              </w:rPr>
              <w:t>-  достаточный уровень</w:t>
            </w:r>
          </w:p>
        </w:tc>
      </w:tr>
      <w:tr>
        <w:trPr>
          <w:trHeight w:hRule="atLeast" w:val="68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3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22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3"/>
              <w:spacing w:line="229" w:lineRule="exact"/>
              <w:ind/>
              <w:rPr>
                <w:sz w:val="20"/>
              </w:rPr>
            </w:pPr>
            <w:r>
              <w:rPr>
                <w:sz w:val="20"/>
              </w:rPr>
              <w:t>Оснащенность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кабинетов</w:t>
            </w:r>
          </w:p>
          <w:p w14:paraId="39000000">
            <w:pPr>
              <w:pStyle w:val="Style_3"/>
              <w:spacing w:line="230" w:lineRule="exact"/>
              <w:ind w:right="452"/>
              <w:rPr>
                <w:sz w:val="20"/>
              </w:rPr>
            </w:pPr>
            <w:r>
              <w:rPr>
                <w:sz w:val="20"/>
              </w:rPr>
              <w:t>современным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мебелью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z w:val="20"/>
              </w:rPr>
              <w:t>-  достаточный уровень</w:t>
            </w:r>
          </w:p>
        </w:tc>
      </w:tr>
      <w:tr>
        <w:trPr>
          <w:trHeight w:hRule="atLeast" w:val="459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3"/>
              <w:spacing w:line="230" w:lineRule="exact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22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3"/>
              <w:ind w:firstLine="0" w:left="0"/>
              <w:rPr>
                <w:sz w:val="20"/>
              </w:rPr>
            </w:pPr>
          </w:p>
        </w:tc>
        <w:tc>
          <w:tcPr>
            <w:tcW w:type="dxa" w:w="41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3"/>
              <w:spacing w:line="230" w:lineRule="exact"/>
              <w:ind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Соответствие </w:t>
            </w:r>
            <w:r>
              <w:rPr>
                <w:sz w:val="20"/>
              </w:rPr>
              <w:t>информационно-методического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pStyle w:val="Style_3"/>
              <w:spacing w:line="230" w:lineRule="exact"/>
              <w:ind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pStyle w:val="Style_3"/>
              <w:spacing w:line="230" w:lineRule="exact"/>
              <w:ind w:firstLine="0" w:left="105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ФГОС </w:t>
            </w:r>
            <w:r>
              <w:rPr>
                <w:sz w:val="20"/>
              </w:rPr>
              <w:t>-  достаточный уровень</w:t>
            </w:r>
          </w:p>
        </w:tc>
      </w:tr>
    </w:tbl>
    <w:p w14:paraId="41000000">
      <w:pPr>
        <w:sectPr>
          <w:type w:val="continuous"/>
          <w:pgSz w:h="11910" w:orient="landscape" w:w="16840"/>
          <w:pgMar w:bottom="280" w:left="980" w:right="420" w:top="360"/>
        </w:sectPr>
      </w:pPr>
    </w:p>
    <w:tbl>
      <w:tblPr>
        <w:tblStyle w:val="Style_2"/>
        <w:tblInd w:type="dxa" w:w="1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5"/>
        <w:gridCol w:w="2235"/>
        <w:gridCol w:w="4177"/>
        <w:gridCol w:w="2024"/>
        <w:gridCol w:w="5572"/>
      </w:tblGrid>
      <w:tr>
        <w:trPr>
          <w:trHeight w:hRule="atLeast" w:val="921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3"/>
              <w:ind w:firstLine="0" w:left="110" w:right="617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</w:p>
          <w:p w14:paraId="44000000">
            <w:pPr>
              <w:pStyle w:val="Style_3"/>
              <w:spacing w:before="1"/>
              <w:ind w:firstLine="0" w:left="11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hRule="atLeast" w:val="68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ind w:right="275"/>
              <w:rPr>
                <w:sz w:val="20"/>
              </w:rPr>
            </w:pPr>
            <w:r>
              <w:rPr>
                <w:spacing w:val="-1"/>
                <w:sz w:val="20"/>
              </w:rPr>
              <w:t>Программно-информационное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обеспечение,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оснащенность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 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A000000">
            <w:pPr>
              <w:pStyle w:val="Style_3"/>
              <w:spacing w:line="208" w:lineRule="exact"/>
              <w:ind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Достаточный уровень</w:t>
            </w:r>
          </w:p>
        </w:tc>
      </w:tr>
      <w:tr>
        <w:trPr>
          <w:trHeight w:hRule="atLeast" w:val="184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pStyle w:val="Style_3"/>
              <w:ind w:firstLine="0" w:left="110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  <w:p w14:paraId="4F000000">
            <w:pPr>
              <w:pStyle w:val="Style_3"/>
              <w:ind w:firstLine="0" w:left="110" w:right="780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3"/>
              <w:tabs>
                <w:tab w:leader="none" w:pos="2076" w:val="left"/>
                <w:tab w:leader="none" w:pos="3964" w:val="left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высказавшихся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положительно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психологическом климате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Анонимное</w:t>
            </w:r>
          </w:p>
          <w:p w14:paraId="5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r>
              <w:t>98%</w:t>
            </w:r>
          </w:p>
        </w:tc>
      </w:tr>
      <w:tr>
        <w:trPr>
          <w:trHeight w:hRule="atLeast" w:val="1379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3"/>
              <w:ind w:firstLine="0" w:left="123" w:right="1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3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Результаты диагностики уровня тревожности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3"/>
              <w:ind w:right="770"/>
              <w:rPr>
                <w:sz w:val="20"/>
              </w:rPr>
            </w:pPr>
            <w:r>
              <w:rPr>
                <w:spacing w:val="-1"/>
                <w:sz w:val="20"/>
              </w:rPr>
              <w:t>Наблюдение,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анонимное</w:t>
            </w:r>
          </w:p>
          <w:p w14:paraId="57000000">
            <w:pPr>
              <w:pStyle w:val="Style_3"/>
              <w:spacing w:before="1"/>
              <w:ind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3"/>
              <w:tabs>
                <w:tab w:leader="none" w:pos="1743" w:val="left"/>
              </w:tabs>
              <w:ind w:firstLine="0" w:left="104" w:right="105"/>
              <w:rPr>
                <w:sz w:val="20"/>
              </w:rPr>
            </w:pPr>
            <w:r>
              <w:rPr>
                <w:sz w:val="20"/>
              </w:rPr>
              <w:t>Проведено анкетирование, в план  работы классных руководителей включено наблюдение и коррекция</w:t>
            </w:r>
          </w:p>
          <w:p w14:paraId="59000000">
            <w:pPr>
              <w:pStyle w:val="Style_3"/>
              <w:tabs>
                <w:tab w:leader="none" w:pos="1743" w:val="left"/>
              </w:tabs>
              <w:ind w:firstLine="0" w:left="104" w:right="105"/>
              <w:rPr>
                <w:sz w:val="20"/>
              </w:rPr>
            </w:pPr>
          </w:p>
        </w:tc>
      </w:tr>
      <w:tr>
        <w:trPr>
          <w:trHeight w:hRule="atLeast" w:val="1839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3"/>
              <w:spacing w:line="229" w:lineRule="exact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3"/>
              <w:spacing w:line="229" w:lineRule="exact"/>
              <w:ind w:firstLine="0" w:left="110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  <w:p w14:paraId="5C000000">
            <w:pPr>
              <w:pStyle w:val="Style_3"/>
              <w:tabs>
                <w:tab w:leader="none" w:pos="2017" w:val="left"/>
              </w:tabs>
              <w:ind w:firstLine="0" w:left="110" w:right="98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pStyle w:val="Style_3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высказавшихся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медицинского сопровождения и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 питания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pStyle w:val="Style_3"/>
              <w:spacing w:line="229" w:lineRule="exact"/>
              <w:ind/>
              <w:rPr>
                <w:sz w:val="20"/>
              </w:rPr>
            </w:pPr>
            <w:r>
              <w:rPr>
                <w:sz w:val="20"/>
              </w:rPr>
              <w:t>Анонимное</w:t>
            </w:r>
          </w:p>
          <w:p w14:paraId="5F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r>
              <w:t>100%</w:t>
            </w:r>
          </w:p>
        </w:tc>
      </w:tr>
      <w:tr>
        <w:trPr>
          <w:trHeight w:hRule="atLeast" w:val="91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pStyle w:val="Style_3"/>
              <w:ind w:firstLine="0" w:left="110"/>
              <w:rPr>
                <w:sz w:val="20"/>
              </w:rPr>
            </w:pPr>
            <w:r>
              <w:rPr>
                <w:sz w:val="20"/>
              </w:rPr>
              <w:t>Кадровое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Укомплектованность педагогическими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имеющими необходимую</w:t>
            </w:r>
          </w:p>
          <w:p w14:paraId="64000000">
            <w:pPr>
              <w:pStyle w:val="Style_3"/>
              <w:spacing w:line="228" w:lineRule="exact"/>
              <w:ind w:right="495"/>
              <w:rPr>
                <w:sz w:val="20"/>
              </w:rPr>
            </w:pPr>
            <w:r>
              <w:rPr>
                <w:sz w:val="20"/>
              </w:rPr>
              <w:t>квалификацию,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 плана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3"/>
              <w:ind w:firstLine="0" w:left="104" w:right="248"/>
              <w:rPr>
                <w:sz w:val="20"/>
              </w:rPr>
            </w:pPr>
            <w:r>
              <w:rPr>
                <w:sz w:val="20"/>
              </w:rPr>
              <w:t>Статистическая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отчетность </w:t>
            </w:r>
            <w:r>
              <w:rPr>
                <w:sz w:val="20"/>
              </w:rPr>
              <w:t>«ОО-1»: 100%</w:t>
            </w:r>
          </w:p>
        </w:tc>
      </w:tr>
      <w:tr>
        <w:trPr>
          <w:trHeight w:hRule="atLeast" w:val="69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3"/>
              <w:ind w:right="1071"/>
              <w:rPr>
                <w:sz w:val="20"/>
              </w:rPr>
            </w:pPr>
            <w:r>
              <w:rPr>
                <w:sz w:val="20"/>
              </w:rPr>
              <w:t>Возрастной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3"/>
              <w:spacing w:line="230" w:lineRule="atLeast"/>
              <w:ind w:firstLine="0" w:left="104" w:right="248"/>
              <w:rPr>
                <w:sz w:val="20"/>
              </w:rPr>
            </w:pPr>
            <w:r>
              <w:rPr>
                <w:sz w:val="20"/>
              </w:rPr>
              <w:t>Статистическая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отчетность </w:t>
            </w:r>
            <w:r>
              <w:rPr>
                <w:sz w:val="20"/>
              </w:rPr>
              <w:t>«ОО-1»: моложе 25лет– 14%, от 25 до 29 лет – 7%, от 35 до 39 лет -21%, от 40 до 44 лет -7%, от 45 до49 лет – 7%, от 50 до 54 лет – 7%, от 55 до 59 лет -21%, старше 60 лет- 14%</w:t>
            </w:r>
          </w:p>
          <w:p w14:paraId="6B000000">
            <w:pPr>
              <w:pStyle w:val="Style_3"/>
              <w:spacing w:line="230" w:lineRule="atLeast"/>
              <w:ind w:firstLine="0" w:left="104" w:right="248"/>
              <w:rPr>
                <w:sz w:val="20"/>
              </w:rPr>
            </w:pPr>
          </w:p>
        </w:tc>
      </w:tr>
      <w:tr>
        <w:trPr>
          <w:trHeight w:hRule="atLeast" w:val="921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pStyle w:val="Style_3"/>
              <w:spacing w:before="1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3"/>
              <w:spacing w:before="1"/>
              <w:ind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pStyle w:val="Style_3"/>
              <w:spacing w:before="1"/>
              <w:ind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pStyle w:val="Style_3"/>
              <w:spacing w:before="1"/>
              <w:ind w:firstLine="0" w:left="104" w:right="248"/>
              <w:rPr>
                <w:sz w:val="20"/>
              </w:rPr>
            </w:pPr>
            <w:r>
              <w:rPr>
                <w:sz w:val="20"/>
              </w:rPr>
              <w:t>Статистическая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отчетность </w:t>
            </w:r>
            <w:r>
              <w:rPr>
                <w:sz w:val="20"/>
              </w:rPr>
              <w:t>«ОО-1» до 35 лет -21%</w:t>
            </w:r>
          </w:p>
        </w:tc>
      </w:tr>
      <w:tr>
        <w:trPr>
          <w:trHeight w:hRule="atLeast" w:val="91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ind w:right="272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первую,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квалификационные</w:t>
            </w:r>
          </w:p>
          <w:p w14:paraId="72000000">
            <w:pPr>
              <w:pStyle w:val="Style_3"/>
              <w:spacing w:line="228" w:lineRule="exact"/>
              <w:ind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ind w:firstLine="0" w:left="104" w:right="248"/>
              <w:rPr>
                <w:sz w:val="20"/>
              </w:rPr>
            </w:pPr>
            <w:r>
              <w:rPr>
                <w:sz w:val="20"/>
              </w:rPr>
              <w:t>Статистическая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отчетность </w:t>
            </w:r>
            <w:r>
              <w:rPr>
                <w:sz w:val="20"/>
              </w:rPr>
              <w:t>«ОО-1»: 50%</w:t>
            </w:r>
          </w:p>
        </w:tc>
      </w:tr>
    </w:tbl>
    <w:p w14:paraId="75000000">
      <w:pPr>
        <w:sectPr>
          <w:pgSz w:h="11910" w:orient="landscape" w:w="16840"/>
          <w:pgMar w:bottom="280" w:left="980" w:right="420" w:top="560"/>
        </w:sectPr>
      </w:pPr>
    </w:p>
    <w:tbl>
      <w:tblPr>
        <w:tblStyle w:val="Style_2"/>
        <w:tblInd w:type="dxa" w:w="1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5"/>
        <w:gridCol w:w="2235"/>
        <w:gridCol w:w="4177"/>
        <w:gridCol w:w="2024"/>
        <w:gridCol w:w="5572"/>
      </w:tblGrid>
      <w:tr>
        <w:trPr>
          <w:trHeight w:hRule="atLeast" w:val="46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ind w:firstLine="0" w:left="0"/>
              <w:rPr>
                <w:sz w:val="18"/>
              </w:rPr>
            </w:pP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прошедших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hRule="atLeast" w:val="691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3"/>
              <w:ind w:right="331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поощрения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14:paraId="7D000000">
            <w:pPr>
              <w:pStyle w:val="Style_3"/>
              <w:spacing w:before="1" w:line="210" w:lineRule="exact"/>
              <w:ind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конкурсах,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конференциях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 xml:space="preserve">Грамота  МОиН Челябинской области – 2, </w:t>
            </w:r>
          </w:p>
          <w:p w14:paraId="80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грамота РУО -7</w:t>
            </w:r>
          </w:p>
        </w:tc>
      </w:tr>
      <w:tr>
        <w:trPr>
          <w:trHeight w:hRule="atLeast" w:val="68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83000000">
            <w:pPr>
              <w:pStyle w:val="Style_3"/>
              <w:spacing w:line="228" w:lineRule="exact"/>
              <w:ind w:right="448"/>
              <w:rPr>
                <w:sz w:val="20"/>
              </w:rPr>
            </w:pPr>
            <w:r>
              <w:rPr>
                <w:sz w:val="20"/>
              </w:rPr>
              <w:t>мероприятиях по распространению опыта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Учитель башкирского языка</w:t>
            </w:r>
          </w:p>
        </w:tc>
      </w:tr>
      <w:tr>
        <w:trPr>
          <w:trHeight w:hRule="atLeast" w:val="921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ind w:right="319"/>
              <w:rPr>
                <w:sz w:val="20"/>
              </w:rPr>
            </w:pPr>
            <w:r>
              <w:rPr>
                <w:sz w:val="20"/>
              </w:rPr>
              <w:t>Информация о педагогических работниках,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разработки,</w:t>
            </w:r>
          </w:p>
          <w:p w14:paraId="88000000">
            <w:pPr>
              <w:pStyle w:val="Style_3"/>
              <w:spacing w:line="23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печатные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мастер-классы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ind w:right="319"/>
              <w:rPr>
                <w:sz w:val="20"/>
              </w:rPr>
            </w:pPr>
            <w:r>
              <w:rPr>
                <w:sz w:val="20"/>
              </w:rPr>
              <w:t>педагогические работники,</w:t>
            </w:r>
            <w:r>
              <w:rPr>
                <w:spacing w:val="-48"/>
                <w:sz w:val="20"/>
              </w:rPr>
              <w:t xml:space="preserve">  </w:t>
            </w:r>
            <w:r>
              <w:rPr>
                <w:sz w:val="20"/>
              </w:rPr>
              <w:t>имеющи</w:t>
            </w:r>
            <w:r>
              <w:rPr>
                <w:spacing w:val="-2"/>
                <w:sz w:val="20"/>
              </w:rPr>
              <w:t xml:space="preserve">е </w:t>
            </w:r>
            <w:r>
              <w:rPr>
                <w:sz w:val="20"/>
              </w:rPr>
              <w:t>методические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разработки, </w:t>
            </w:r>
            <w:r>
              <w:rPr>
                <w:sz w:val="20"/>
              </w:rPr>
              <w:t>печатные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– 6 </w:t>
            </w:r>
          </w:p>
        </w:tc>
      </w:tr>
      <w:tr>
        <w:trPr>
          <w:trHeight w:hRule="atLeast" w:val="68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</w:p>
          <w:p w14:paraId="8D000000">
            <w:pPr>
              <w:pStyle w:val="Style_3"/>
              <w:spacing w:line="228" w:lineRule="exact"/>
              <w:ind w:right="49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комиссий,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жюри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atLeast" w:val="69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</w:p>
          <w:p w14:paraId="92000000">
            <w:pPr>
              <w:pStyle w:val="Style_3"/>
              <w:spacing w:line="230" w:lineRule="atLeast"/>
              <w:ind w:right="399"/>
              <w:rPr>
                <w:sz w:val="20"/>
              </w:rPr>
            </w:pPr>
            <w:r>
              <w:rPr>
                <w:sz w:val="20"/>
              </w:rPr>
              <w:t>удовлетворенных организацией 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Анонимное</w:t>
            </w:r>
          </w:p>
          <w:p w14:paraId="9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hRule="atLeast" w:val="184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3"/>
              <w:ind w:firstLine="0" w:left="110" w:right="686"/>
              <w:rPr>
                <w:sz w:val="20"/>
              </w:rPr>
            </w:pPr>
            <w:r>
              <w:rPr>
                <w:sz w:val="20"/>
              </w:rPr>
              <w:t>Общественно-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государственное</w:t>
            </w:r>
          </w:p>
          <w:p w14:paraId="98000000">
            <w:pPr>
              <w:pStyle w:val="Style_3"/>
              <w:tabs>
                <w:tab w:leader="none" w:pos="2017" w:val="left"/>
              </w:tabs>
              <w:spacing w:before="1"/>
              <w:ind w:firstLine="0" w:left="110" w:right="98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</w:p>
          <w:p w14:paraId="99000000">
            <w:pPr>
              <w:pStyle w:val="Style_3"/>
              <w:spacing w:line="228" w:lineRule="exact"/>
              <w:ind w:firstLine="0" w:left="110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3"/>
              <w:ind w:right="547"/>
              <w:rPr>
                <w:sz w:val="20"/>
              </w:rPr>
            </w:pPr>
            <w:r>
              <w:rPr>
                <w:sz w:val="20"/>
              </w:rPr>
              <w:t>Доля педагогов, положительно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высказавшихся о системе морального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стимулирования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3"/>
              <w:ind w:firstLine="0" w:left="104" w:right="77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hRule="atLeast" w:val="46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3"/>
              <w:ind w:firstLine="0" w:left="110" w:right="95"/>
              <w:rPr>
                <w:sz w:val="20"/>
              </w:rPr>
            </w:pPr>
            <w:r>
              <w:rPr>
                <w:sz w:val="20"/>
              </w:rPr>
              <w:t>Открытость школы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14:paraId="9F000000">
            <w:pPr>
              <w:pStyle w:val="Style_3"/>
              <w:tabs>
                <w:tab w:leader="none" w:pos="2017" w:val="left"/>
              </w:tabs>
              <w:spacing w:before="1" w:line="229" w:lineRule="exact"/>
              <w:ind w:firstLine="0" w:left="110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и</w:t>
            </w:r>
          </w:p>
          <w:p w14:paraId="A0000000">
            <w:pPr>
              <w:pStyle w:val="Style_3"/>
              <w:ind w:firstLine="0" w:left="110" w:right="854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3"/>
              <w:spacing w:line="230" w:lineRule="exact"/>
              <w:ind w:right="410"/>
              <w:rPr>
                <w:sz w:val="20"/>
              </w:rPr>
            </w:pPr>
            <w:r>
              <w:rPr>
                <w:sz w:val="20"/>
              </w:rPr>
              <w:t>Наличие и систематическое обновление,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3"/>
              <w:spacing w:line="230" w:lineRule="exact"/>
              <w:ind w:right="410"/>
              <w:rPr>
                <w:sz w:val="20"/>
              </w:rPr>
            </w:pPr>
            <w:r>
              <w:rPr>
                <w:sz w:val="20"/>
              </w:rPr>
              <w:t>Сайт работает в штатном режиме,  систематически  обновленяется</w:t>
            </w:r>
          </w:p>
        </w:tc>
      </w:tr>
      <w:tr>
        <w:trPr>
          <w:trHeight w:hRule="atLeast" w:val="688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3"/>
              <w:ind w:right="171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ежегодных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публичных докладов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A6000000">
            <w:pPr>
              <w:pStyle w:val="Style_3"/>
              <w:spacing w:line="208" w:lineRule="exact"/>
              <w:ind/>
              <w:rPr>
                <w:sz w:val="20"/>
              </w:rPr>
            </w:pP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Размещено</w:t>
            </w:r>
          </w:p>
        </w:tc>
      </w:tr>
      <w:tr>
        <w:trPr>
          <w:trHeight w:hRule="atLeast" w:val="46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3"/>
              <w:ind w:firstLine="0" w:left="0"/>
              <w:rPr>
                <w:sz w:val="18"/>
              </w:rPr>
            </w:pP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3"/>
              <w:spacing w:line="230" w:lineRule="atLeast"/>
              <w:ind w:firstLine="0" w:left="104" w:right="441"/>
              <w:rPr>
                <w:sz w:val="20"/>
              </w:rPr>
            </w:pPr>
            <w:r>
              <w:rPr>
                <w:sz w:val="20"/>
              </w:rPr>
              <w:t xml:space="preserve">Ежегодно 1 раз </w:t>
            </w:r>
          </w:p>
        </w:tc>
      </w:tr>
      <w:tr>
        <w:trPr>
          <w:trHeight w:hRule="atLeast" w:val="46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3"/>
              <w:spacing w:line="230" w:lineRule="atLeast"/>
              <w:ind w:right="105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партнерами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Договор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3"/>
              <w:ind w:firstLine="0" w:left="104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</w:tr>
      <w:tr>
        <w:trPr>
          <w:trHeight w:hRule="atLeast" w:val="1840"/>
        </w:trPr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3"/>
              <w:ind w:firstLine="0"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3"/>
              <w:tabs>
                <w:tab w:leader="none" w:pos="1244" w:val="left"/>
              </w:tabs>
              <w:ind w:firstLine="0" w:left="110" w:right="99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(законных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</w:p>
          <w:p w14:paraId="B3000000">
            <w:pPr>
              <w:pStyle w:val="Style_3"/>
              <w:ind w:firstLine="0" w:left="110" w:right="96"/>
              <w:rPr>
                <w:sz w:val="20"/>
              </w:rPr>
            </w:pP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предоставляемых</w:t>
            </w:r>
          </w:p>
          <w:p w14:paraId="B4000000">
            <w:pPr>
              <w:pStyle w:val="Style_3"/>
              <w:ind w:firstLine="0" w:left="110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3"/>
              <w:ind w:right="599"/>
              <w:rPr>
                <w:sz w:val="20"/>
              </w:rPr>
            </w:pPr>
            <w:r>
              <w:rPr>
                <w:sz w:val="20"/>
              </w:rPr>
              <w:t>Уровень удовлетворенности 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B6000000">
            <w:pPr>
              <w:pStyle w:val="Style_3"/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>качеством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предоставляемых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3"/>
              <w:ind w:firstLine="0" w:left="104" w:right="779"/>
              <w:rPr>
                <w:sz w:val="20"/>
              </w:rPr>
            </w:pPr>
            <w:r>
              <w:rPr>
                <w:sz w:val="20"/>
              </w:rPr>
              <w:t>100%, жалоб не поступало</w:t>
            </w:r>
          </w:p>
        </w:tc>
      </w:tr>
    </w:tbl>
    <w:p w14:paraId="B9000000"/>
    <w:sectPr>
      <w:pgSz w:h="11910" w:orient="landscape" w:w="16840"/>
      <w:pgMar w:bottom="280" w:left="980" w:right="420" w:top="5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1" w:type="paragraph">
    <w:name w:val="Body Text"/>
    <w:basedOn w:val="Style_4"/>
    <w:link w:val="Style_1_ch"/>
    <w:rPr>
      <w:rFonts w:ascii="Times New Roman" w:hAnsi="Times New Roman"/>
      <w:b w:val="1"/>
      <w:sz w:val="24"/>
    </w:rPr>
  </w:style>
  <w:style w:styleId="Style_1_ch" w:type="character">
    <w:name w:val="Body Text"/>
    <w:basedOn w:val="Style_4_ch"/>
    <w:link w:val="Style_1"/>
    <w:rPr>
      <w:rFonts w:ascii="Times New Roman" w:hAnsi="Times New Roman"/>
      <w:b w:val="1"/>
      <w:sz w:val="24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List Paragraph"/>
    <w:basedOn w:val="Style_4"/>
    <w:link w:val="Style_13_ch"/>
  </w:style>
  <w:style w:styleId="Style_13_ch" w:type="character">
    <w:name w:val="List Paragraph"/>
    <w:basedOn w:val="Style_4_ch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3" w:type="paragraph">
    <w:name w:val="Table Paragraph"/>
    <w:basedOn w:val="Style_4"/>
    <w:link w:val="Style_3_ch"/>
    <w:pPr>
      <w:ind w:firstLine="0" w:left="107"/>
    </w:pPr>
    <w:rPr>
      <w:rFonts w:ascii="Times New Roman" w:hAnsi="Times New Roman"/>
    </w:rPr>
  </w:style>
  <w:style w:styleId="Style_3_ch" w:type="character">
    <w:name w:val="Table Paragraph"/>
    <w:basedOn w:val="Style_4_ch"/>
    <w:link w:val="Style_3"/>
    <w:rPr>
      <w:rFonts w:ascii="Times New Roman" w:hAnsi="Times New Roman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2023-04-21T05:10:04Z</dcterms:modified>
</cp:coreProperties>
</file>